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3082" w14:textId="16D18E48" w:rsidR="00B55BBB" w:rsidRPr="00C65CA1" w:rsidRDefault="0032564E" w:rsidP="005A6DE0">
      <w:pPr>
        <w:pStyle w:val="Paragrafoelenco"/>
        <w:ind w:left="5670"/>
        <w:rPr>
          <w:rStyle w:val="Enfasidelicata"/>
          <w:i w:val="0"/>
          <w:color w:val="auto"/>
        </w:rPr>
      </w:pPr>
      <w:r w:rsidRPr="00C65CA1">
        <w:rPr>
          <w:rStyle w:val="Enfasidelicata"/>
          <w:i w:val="0"/>
          <w:color w:val="auto"/>
        </w:rPr>
        <w:t>Pescara, 1</w:t>
      </w:r>
      <w:r w:rsidR="0079356C">
        <w:rPr>
          <w:rStyle w:val="Enfasidelicata"/>
          <w:i w:val="0"/>
          <w:color w:val="auto"/>
        </w:rPr>
        <w:t>8</w:t>
      </w:r>
      <w:bookmarkStart w:id="0" w:name="_GoBack"/>
      <w:bookmarkEnd w:id="0"/>
      <w:r w:rsidRPr="00C65CA1">
        <w:rPr>
          <w:rStyle w:val="Enfasidelicata"/>
          <w:i w:val="0"/>
          <w:color w:val="auto"/>
        </w:rPr>
        <w:t xml:space="preserve"> Febbraio 2015 </w:t>
      </w:r>
    </w:p>
    <w:p w14:paraId="4752CAE9" w14:textId="77777777" w:rsidR="0032564E" w:rsidRPr="00C65CA1" w:rsidRDefault="0032564E" w:rsidP="005A6DE0">
      <w:pPr>
        <w:pStyle w:val="Paragrafoelenco"/>
        <w:rPr>
          <w:rStyle w:val="Enfasidelicata"/>
          <w:i w:val="0"/>
          <w:color w:val="auto"/>
        </w:rPr>
      </w:pPr>
    </w:p>
    <w:p w14:paraId="4E3F24C2" w14:textId="77777777" w:rsidR="0032564E" w:rsidRPr="00C65CA1" w:rsidRDefault="0032564E" w:rsidP="005A6DE0">
      <w:pPr>
        <w:pStyle w:val="Paragrafoelenco"/>
        <w:jc w:val="center"/>
        <w:rPr>
          <w:rStyle w:val="Enfasidelicata"/>
          <w:b/>
          <w:i w:val="0"/>
          <w:color w:val="008000"/>
        </w:rPr>
      </w:pPr>
      <w:r w:rsidRPr="00C65CA1">
        <w:rPr>
          <w:rStyle w:val="Enfasidelicata"/>
          <w:b/>
          <w:i w:val="0"/>
          <w:color w:val="008000"/>
        </w:rPr>
        <w:t>CIRCOLARE</w:t>
      </w:r>
    </w:p>
    <w:p w14:paraId="677217B1" w14:textId="70E1EE5A" w:rsidR="00620333" w:rsidRPr="00260EE4" w:rsidRDefault="0032564E" w:rsidP="00184B97">
      <w:pPr>
        <w:pStyle w:val="Paragrafoelenco"/>
        <w:ind w:left="1843" w:hanging="1123"/>
        <w:rPr>
          <w:rStyle w:val="Enfasidelicata"/>
          <w:b/>
          <w:i w:val="0"/>
          <w:color w:val="auto"/>
        </w:rPr>
      </w:pPr>
      <w:r w:rsidRPr="00260EE4">
        <w:rPr>
          <w:rStyle w:val="Enfasidelicata"/>
          <w:b/>
          <w:i w:val="0"/>
          <w:color w:val="auto"/>
        </w:rPr>
        <w:t>OGGETTO: Antimafia White List gestione rifiuti obbligatoria per partecipazione ad appalti pubblici</w:t>
      </w:r>
      <w:r w:rsidR="00620333" w:rsidRPr="00260EE4">
        <w:rPr>
          <w:rStyle w:val="Enfasidelicata"/>
          <w:b/>
          <w:i w:val="0"/>
          <w:color w:val="auto"/>
        </w:rPr>
        <w:t xml:space="preserve">. </w:t>
      </w:r>
      <w:r w:rsidR="00DC06A6" w:rsidRPr="00260EE4">
        <w:rPr>
          <w:rStyle w:val="Enfasidelicata"/>
          <w:b/>
          <w:i w:val="0"/>
          <w:color w:val="auto"/>
        </w:rPr>
        <w:t>Atto di Segnalaz</w:t>
      </w:r>
      <w:r w:rsidR="009133AE">
        <w:rPr>
          <w:rStyle w:val="Enfasidelicata"/>
          <w:b/>
          <w:i w:val="0"/>
          <w:color w:val="auto"/>
        </w:rPr>
        <w:t>i</w:t>
      </w:r>
      <w:r w:rsidR="00DC06A6" w:rsidRPr="00260EE4">
        <w:rPr>
          <w:rStyle w:val="Enfasidelicata"/>
          <w:b/>
          <w:i w:val="0"/>
          <w:color w:val="auto"/>
        </w:rPr>
        <w:t>one</w:t>
      </w:r>
      <w:r w:rsidR="00620333" w:rsidRPr="00260EE4">
        <w:rPr>
          <w:rStyle w:val="Enfasidelicata"/>
          <w:b/>
          <w:i w:val="0"/>
          <w:color w:val="auto"/>
        </w:rPr>
        <w:t xml:space="preserve"> Autorità anticorruzione 21 Gennaio 2015</w:t>
      </w:r>
    </w:p>
    <w:p w14:paraId="1F03CCC0" w14:textId="77777777" w:rsidR="00620333" w:rsidRPr="00C65CA1" w:rsidRDefault="00620333" w:rsidP="005A6DE0">
      <w:pPr>
        <w:pStyle w:val="Paragrafoelenco"/>
        <w:rPr>
          <w:rStyle w:val="Enfasidelicata"/>
          <w:i w:val="0"/>
          <w:color w:val="auto"/>
        </w:rPr>
      </w:pPr>
    </w:p>
    <w:p w14:paraId="6FD2A75B" w14:textId="728224DF" w:rsidR="0032564E" w:rsidRPr="00C65CA1" w:rsidRDefault="00620333" w:rsidP="005A6DE0">
      <w:pPr>
        <w:pStyle w:val="Paragrafoelenco"/>
        <w:jc w:val="both"/>
        <w:rPr>
          <w:rStyle w:val="Enfasidelicata"/>
          <w:i w:val="0"/>
          <w:color w:val="auto"/>
        </w:rPr>
      </w:pPr>
      <w:r w:rsidRPr="00C65CA1">
        <w:rPr>
          <w:rStyle w:val="Enfasidelicata"/>
          <w:i w:val="0"/>
          <w:color w:val="auto"/>
        </w:rPr>
        <w:t>Facciamo riferimento e seguito alle ns precedenti comunicazioni sull’argomento in oggetto (v. circc del</w:t>
      </w:r>
      <w:r w:rsidR="005A6DE0">
        <w:rPr>
          <w:rStyle w:val="Enfasidelicata"/>
          <w:i w:val="0"/>
          <w:color w:val="auto"/>
        </w:rPr>
        <w:t xml:space="preserve"> 22 settembre, 28 e 25 luglio 2014</w:t>
      </w:r>
      <w:r w:rsidR="00B426C4" w:rsidRPr="00C65CA1">
        <w:rPr>
          <w:rStyle w:val="Enfasidelicata"/>
          <w:i w:val="0"/>
          <w:color w:val="auto"/>
        </w:rPr>
        <w:t>)</w:t>
      </w:r>
      <w:r w:rsidR="00633052">
        <w:rPr>
          <w:rStyle w:val="Enfasidelicata"/>
          <w:i w:val="0"/>
          <w:color w:val="auto"/>
        </w:rPr>
        <w:t>,</w:t>
      </w:r>
      <w:r w:rsidR="00B426C4" w:rsidRPr="00C65CA1">
        <w:rPr>
          <w:rStyle w:val="Enfasidelicata"/>
          <w:i w:val="0"/>
          <w:color w:val="auto"/>
        </w:rPr>
        <w:t xml:space="preserve"> </w:t>
      </w:r>
      <w:r w:rsidR="00F170A8" w:rsidRPr="00C65CA1">
        <w:rPr>
          <w:rStyle w:val="Enfasidelicata"/>
          <w:i w:val="0"/>
          <w:color w:val="auto"/>
        </w:rPr>
        <w:t xml:space="preserve">per </w:t>
      </w:r>
      <w:r w:rsidR="00633052">
        <w:rPr>
          <w:rStyle w:val="Enfasidelicata"/>
          <w:i w:val="0"/>
          <w:color w:val="auto"/>
        </w:rPr>
        <w:t xml:space="preserve">informare le imprese associate che con </w:t>
      </w:r>
      <w:r w:rsidR="00F170A8" w:rsidRPr="00C65CA1">
        <w:rPr>
          <w:rStyle w:val="Enfasidelicata"/>
          <w:i w:val="0"/>
          <w:color w:val="auto"/>
        </w:rPr>
        <w:t>l</w:t>
      </w:r>
      <w:r w:rsidR="00C65CA1">
        <w:rPr>
          <w:rStyle w:val="Enfasidelicata"/>
          <w:i w:val="0"/>
          <w:color w:val="auto"/>
        </w:rPr>
        <w:t>’Atto di segnalazione</w:t>
      </w:r>
      <w:r w:rsidR="00F170A8" w:rsidRPr="00C65CA1">
        <w:rPr>
          <w:rStyle w:val="Enfasidelicata"/>
          <w:i w:val="0"/>
          <w:color w:val="auto"/>
        </w:rPr>
        <w:t xml:space="preserve"> </w:t>
      </w:r>
      <w:r w:rsidR="00C65CA1" w:rsidRPr="00C65CA1">
        <w:rPr>
          <w:rStyle w:val="Enfasidelicata"/>
          <w:i w:val="0"/>
          <w:color w:val="auto"/>
        </w:rPr>
        <w:t>21 gennaio 2015 n 1</w:t>
      </w:r>
      <w:r w:rsidR="00277678">
        <w:rPr>
          <w:rStyle w:val="Enfasidelicata"/>
          <w:i w:val="0"/>
          <w:color w:val="auto"/>
        </w:rPr>
        <w:t xml:space="preserve"> (All)</w:t>
      </w:r>
      <w:r w:rsidR="00C65CA1">
        <w:rPr>
          <w:rStyle w:val="Enfasidelicata"/>
          <w:i w:val="0"/>
          <w:color w:val="auto"/>
        </w:rPr>
        <w:t xml:space="preserve">, </w:t>
      </w:r>
      <w:r w:rsidR="00F170A8" w:rsidRPr="00C65CA1">
        <w:rPr>
          <w:rStyle w:val="Enfasidelicata"/>
          <w:i w:val="0"/>
          <w:color w:val="auto"/>
        </w:rPr>
        <w:t>l’Autorità anticorruzione chiarisce alcuni aspetti del quadro normativo relativo alle c.d. white list</w:t>
      </w:r>
      <w:r w:rsidR="0089231E">
        <w:rPr>
          <w:rStyle w:val="Enfasidelicata"/>
          <w:i w:val="0"/>
          <w:color w:val="auto"/>
        </w:rPr>
        <w:t>,</w:t>
      </w:r>
      <w:r w:rsidR="00F170A8" w:rsidRPr="00C65CA1">
        <w:rPr>
          <w:rStyle w:val="Enfasidelicata"/>
          <w:i w:val="0"/>
          <w:color w:val="auto"/>
        </w:rPr>
        <w:t xml:space="preserve"> </w:t>
      </w:r>
      <w:r w:rsidR="00595344" w:rsidRPr="00C65CA1">
        <w:rPr>
          <w:rStyle w:val="Enfasidelicata"/>
          <w:i w:val="0"/>
          <w:color w:val="auto"/>
        </w:rPr>
        <w:t>elenchi istituiti presso le Prefetture (dalla legge  c.d. anticorruzione 190/2012</w:t>
      </w:r>
      <w:r w:rsidR="007F0F4C" w:rsidRPr="00C65CA1">
        <w:rPr>
          <w:rStyle w:val="Enfasidelicata"/>
          <w:i w:val="0"/>
          <w:color w:val="auto"/>
        </w:rPr>
        <w:t>,</w:t>
      </w:r>
      <w:r w:rsidR="00595344" w:rsidRPr="00C65CA1">
        <w:rPr>
          <w:rStyle w:val="Enfasidelicata"/>
          <w:i w:val="0"/>
          <w:color w:val="auto"/>
        </w:rPr>
        <w:t>)</w:t>
      </w:r>
      <w:r w:rsidR="00F170A8" w:rsidRPr="00C65CA1">
        <w:rPr>
          <w:rStyle w:val="Enfasidelicata"/>
          <w:i w:val="0"/>
          <w:color w:val="auto"/>
        </w:rPr>
        <w:t xml:space="preserve"> </w:t>
      </w:r>
      <w:r w:rsidR="005C084D" w:rsidRPr="00C65CA1">
        <w:rPr>
          <w:rStyle w:val="Enfasidelicata"/>
          <w:i w:val="0"/>
          <w:color w:val="auto"/>
        </w:rPr>
        <w:t>recanti i dati delle imprese operanti in settori particolarmente esposti all’azione della malavita organizzata.</w:t>
      </w:r>
    </w:p>
    <w:p w14:paraId="609C923C" w14:textId="05CD6525" w:rsidR="005C084D" w:rsidRPr="00C65CA1" w:rsidRDefault="00656290" w:rsidP="005A6DE0">
      <w:pPr>
        <w:pStyle w:val="Paragrafoelenco"/>
        <w:jc w:val="both"/>
        <w:rPr>
          <w:rStyle w:val="Enfasidelicata"/>
          <w:i w:val="0"/>
          <w:color w:val="auto"/>
        </w:rPr>
      </w:pPr>
      <w:r w:rsidRPr="00C65CA1">
        <w:rPr>
          <w:rStyle w:val="Enfasidelicata"/>
          <w:i w:val="0"/>
          <w:color w:val="auto"/>
        </w:rPr>
        <w:t>Ricordiamo che t</w:t>
      </w:r>
      <w:r w:rsidR="005C084D" w:rsidRPr="00C65CA1">
        <w:rPr>
          <w:rStyle w:val="Enfasidelicata"/>
          <w:i w:val="0"/>
          <w:color w:val="auto"/>
        </w:rPr>
        <w:t xml:space="preserve">ali settori </w:t>
      </w:r>
      <w:r w:rsidRPr="00C65CA1">
        <w:rPr>
          <w:rStyle w:val="Enfasidelicata"/>
          <w:i w:val="0"/>
          <w:color w:val="auto"/>
        </w:rPr>
        <w:t>(ex art. 1, c.</w:t>
      </w:r>
      <w:r w:rsidR="00113641" w:rsidRPr="00C65CA1">
        <w:rPr>
          <w:rStyle w:val="Enfasidelicata"/>
          <w:i w:val="0"/>
          <w:color w:val="auto"/>
        </w:rPr>
        <w:t xml:space="preserve"> </w:t>
      </w:r>
      <w:r w:rsidRPr="00C65CA1">
        <w:rPr>
          <w:rStyle w:val="Enfasidelicata"/>
          <w:i w:val="0"/>
          <w:color w:val="auto"/>
        </w:rPr>
        <w:t>53 L</w:t>
      </w:r>
      <w:r w:rsidR="0089231E">
        <w:rPr>
          <w:rStyle w:val="Enfasidelicata"/>
          <w:i w:val="0"/>
          <w:color w:val="auto"/>
        </w:rPr>
        <w:t xml:space="preserve">egge </w:t>
      </w:r>
      <w:r w:rsidRPr="00C65CA1">
        <w:rPr>
          <w:rStyle w:val="Enfasidelicata"/>
          <w:i w:val="0"/>
          <w:color w:val="auto"/>
        </w:rPr>
        <w:t xml:space="preserve">190/2012) </w:t>
      </w:r>
      <w:r w:rsidR="005C084D" w:rsidRPr="00C65CA1">
        <w:rPr>
          <w:rStyle w:val="Enfasidelicata"/>
          <w:i w:val="0"/>
          <w:color w:val="auto"/>
        </w:rPr>
        <w:t>sono i seguenti:</w:t>
      </w:r>
    </w:p>
    <w:p w14:paraId="01BB0992" w14:textId="77777777" w:rsidR="00C65CA1" w:rsidRPr="00C65CA1" w:rsidRDefault="00C65CA1" w:rsidP="005A6DE0">
      <w:pPr>
        <w:pStyle w:val="Paragrafoelenco"/>
        <w:rPr>
          <w:rStyle w:val="Enfasidelicata"/>
          <w:i w:val="0"/>
          <w:color w:val="auto"/>
        </w:rPr>
      </w:pPr>
    </w:p>
    <w:p w14:paraId="14546136"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trasporto di materiali a discarica per conto di terzi; </w:t>
      </w:r>
    </w:p>
    <w:p w14:paraId="042221DF"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trasporto, anche transfrontaliero, e smaltimento di rifiuti per conto di terzi; </w:t>
      </w:r>
    </w:p>
    <w:p w14:paraId="2C7A25E7"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estrazione, fornitura e trasporto di terra e materiali inerti; </w:t>
      </w:r>
    </w:p>
    <w:p w14:paraId="650CEA1B"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confezionamento, fornitura e trasporto di calcestruzzo e di bitume; </w:t>
      </w:r>
    </w:p>
    <w:p w14:paraId="3B7DE9D2"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noli a freddo di macchinari; </w:t>
      </w:r>
    </w:p>
    <w:p w14:paraId="687FF939"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fornitura di ferro lavorato; </w:t>
      </w:r>
    </w:p>
    <w:p w14:paraId="1088FB0B"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noli a caldo; </w:t>
      </w:r>
    </w:p>
    <w:p w14:paraId="721387B8"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 xml:space="preserve">autotrasporti per conto di terzi </w:t>
      </w:r>
    </w:p>
    <w:p w14:paraId="724A9CEB" w14:textId="77777777" w:rsidR="00C65CA1" w:rsidRPr="00E40DE4" w:rsidRDefault="00C65CA1" w:rsidP="005A6DE0">
      <w:pPr>
        <w:pStyle w:val="Paragrafoelenco"/>
        <w:numPr>
          <w:ilvl w:val="0"/>
          <w:numId w:val="3"/>
        </w:numPr>
        <w:rPr>
          <w:rStyle w:val="Enfasidelicata"/>
          <w:i w:val="0"/>
          <w:color w:val="auto"/>
        </w:rPr>
      </w:pPr>
      <w:r w:rsidRPr="00E40DE4">
        <w:rPr>
          <w:rStyle w:val="Enfasidelicata"/>
          <w:i w:val="0"/>
          <w:color w:val="auto"/>
        </w:rPr>
        <w:t>guardiania dei cantieri</w:t>
      </w:r>
    </w:p>
    <w:p w14:paraId="144ED281" w14:textId="77777777" w:rsidR="005C084D" w:rsidRPr="00C65CA1" w:rsidRDefault="005C084D" w:rsidP="005A6DE0">
      <w:pPr>
        <w:pStyle w:val="Paragrafoelenco"/>
        <w:rPr>
          <w:rStyle w:val="Enfasidelicata"/>
          <w:i w:val="0"/>
          <w:color w:val="auto"/>
        </w:rPr>
      </w:pPr>
    </w:p>
    <w:p w14:paraId="19E1B329" w14:textId="63D9E575" w:rsidR="0071364F" w:rsidRPr="00C65CA1" w:rsidRDefault="00881272" w:rsidP="0071364F">
      <w:pPr>
        <w:pStyle w:val="Paragrafoelenco"/>
        <w:jc w:val="both"/>
        <w:rPr>
          <w:rStyle w:val="Enfasidelicata"/>
          <w:i w:val="0"/>
          <w:color w:val="auto"/>
        </w:rPr>
      </w:pPr>
      <w:r w:rsidRPr="00C65CA1">
        <w:rPr>
          <w:rStyle w:val="Enfasidelicata"/>
          <w:i w:val="0"/>
          <w:color w:val="auto"/>
        </w:rPr>
        <w:t xml:space="preserve">In particolare l’Atto di segnalazione dell’Autorità anticorruzione </w:t>
      </w:r>
      <w:r w:rsidR="00E228B5">
        <w:rPr>
          <w:rStyle w:val="Enfasidelicata"/>
          <w:i w:val="0"/>
          <w:color w:val="auto"/>
        </w:rPr>
        <w:t>premette</w:t>
      </w:r>
      <w:r w:rsidR="0071364F">
        <w:rPr>
          <w:rStyle w:val="Enfasidelicata"/>
          <w:i w:val="0"/>
          <w:color w:val="auto"/>
        </w:rPr>
        <w:t xml:space="preserve"> che </w:t>
      </w:r>
      <w:r w:rsidR="0071364F" w:rsidRPr="00C65CA1">
        <w:rPr>
          <w:rStyle w:val="Enfasidelicata"/>
          <w:i w:val="0"/>
          <w:color w:val="auto"/>
        </w:rPr>
        <w:t>l’articolo 2, comma 2 del DPCM 18 Aprile 2013 che disciplina le modalità di istituzione e aggiornamento delle white list , prevede che “</w:t>
      </w:r>
      <w:r w:rsidR="0071364F" w:rsidRPr="008E1D5E">
        <w:rPr>
          <w:rStyle w:val="Enfasidelicata"/>
          <w:b/>
          <w:i w:val="0"/>
          <w:color w:val="auto"/>
        </w:rPr>
        <w:t>l’iscrizione negli elenchi è volontaria</w:t>
      </w:r>
      <w:r w:rsidR="0071364F" w:rsidRPr="00C65CA1">
        <w:rPr>
          <w:rStyle w:val="Enfasidelicata"/>
          <w:i w:val="0"/>
          <w:color w:val="auto"/>
        </w:rPr>
        <w:t>..”.</w:t>
      </w:r>
    </w:p>
    <w:p w14:paraId="002E0AE4" w14:textId="77777777" w:rsidR="0071364F" w:rsidRDefault="0071364F" w:rsidP="005A6DE0">
      <w:pPr>
        <w:pStyle w:val="Paragrafoelenco"/>
        <w:jc w:val="both"/>
        <w:rPr>
          <w:rStyle w:val="Enfasidelicata"/>
          <w:i w:val="0"/>
          <w:color w:val="auto"/>
        </w:rPr>
      </w:pPr>
    </w:p>
    <w:p w14:paraId="78A6FB72" w14:textId="306C8ACB" w:rsidR="00881272" w:rsidRPr="00C65CA1" w:rsidRDefault="0071364F" w:rsidP="005A6DE0">
      <w:pPr>
        <w:pStyle w:val="Paragrafoelenco"/>
        <w:jc w:val="both"/>
        <w:rPr>
          <w:rStyle w:val="Enfasidelicata"/>
          <w:i w:val="0"/>
          <w:color w:val="auto"/>
        </w:rPr>
      </w:pPr>
      <w:r>
        <w:rPr>
          <w:rStyle w:val="Enfasidelicata"/>
          <w:i w:val="0"/>
          <w:color w:val="auto"/>
        </w:rPr>
        <w:t>Argomenta poi in merito a</w:t>
      </w:r>
      <w:r w:rsidR="00881272" w:rsidRPr="00C65CA1">
        <w:rPr>
          <w:rStyle w:val="Enfasidelicata"/>
          <w:i w:val="0"/>
          <w:color w:val="auto"/>
        </w:rPr>
        <w:t xml:space="preserve">ll’obbligatorietà di utilizzo di tali liste, da parte della P.A. </w:t>
      </w:r>
      <w:r w:rsidR="008F325C">
        <w:rPr>
          <w:rStyle w:val="Enfasidelicata"/>
          <w:i w:val="0"/>
          <w:color w:val="auto"/>
        </w:rPr>
        <w:t xml:space="preserve">ed enti pubblici, </w:t>
      </w:r>
      <w:r w:rsidR="001E67D5">
        <w:rPr>
          <w:rStyle w:val="Enfasidelicata"/>
          <w:i w:val="0"/>
          <w:color w:val="auto"/>
        </w:rPr>
        <w:t xml:space="preserve">e all’obbligatorietà </w:t>
      </w:r>
      <w:r w:rsidR="00881272" w:rsidRPr="00C65CA1">
        <w:rPr>
          <w:rStyle w:val="Enfasidelicata"/>
          <w:i w:val="0"/>
          <w:color w:val="auto"/>
        </w:rPr>
        <w:t>di iscrizione  da parte degli operatori economici</w:t>
      </w:r>
      <w:r w:rsidR="001E67D5">
        <w:rPr>
          <w:rStyle w:val="Enfasidelicata"/>
          <w:i w:val="0"/>
          <w:color w:val="auto"/>
        </w:rPr>
        <w:t>,</w:t>
      </w:r>
      <w:r w:rsidR="00881272" w:rsidRPr="00C65CA1">
        <w:rPr>
          <w:rStyle w:val="Enfasidelicata"/>
          <w:i w:val="0"/>
          <w:color w:val="auto"/>
        </w:rPr>
        <w:t xml:space="preserve"> presenti nell’elenco so</w:t>
      </w:r>
      <w:r>
        <w:rPr>
          <w:rStyle w:val="Enfasidelicata"/>
          <w:i w:val="0"/>
          <w:color w:val="auto"/>
        </w:rPr>
        <w:t>pra riportato</w:t>
      </w:r>
      <w:r w:rsidR="001E67D5">
        <w:rPr>
          <w:rStyle w:val="Enfasidelicata"/>
          <w:i w:val="0"/>
          <w:color w:val="auto"/>
        </w:rPr>
        <w:t>,</w:t>
      </w:r>
      <w:r>
        <w:rPr>
          <w:rStyle w:val="Enfasidelicata"/>
          <w:i w:val="0"/>
          <w:color w:val="auto"/>
        </w:rPr>
        <w:t xml:space="preserve"> alla luce delle disposizioni introdotte dal DL 90/2014.</w:t>
      </w:r>
    </w:p>
    <w:p w14:paraId="2931A576" w14:textId="11B35C39" w:rsidR="00113641" w:rsidRPr="00C65CA1" w:rsidRDefault="00784C8E" w:rsidP="005A6DE0">
      <w:pPr>
        <w:pStyle w:val="Paragrafoelenco"/>
        <w:jc w:val="both"/>
        <w:rPr>
          <w:rStyle w:val="Enfasidelicata"/>
          <w:i w:val="0"/>
          <w:color w:val="auto"/>
        </w:rPr>
      </w:pPr>
      <w:r>
        <w:rPr>
          <w:rStyle w:val="Enfasidelicata"/>
          <w:i w:val="0"/>
          <w:color w:val="auto"/>
        </w:rPr>
        <w:t xml:space="preserve">Evidenzia </w:t>
      </w:r>
      <w:r w:rsidR="001E67D5">
        <w:rPr>
          <w:rStyle w:val="Enfasidelicata"/>
          <w:i w:val="0"/>
          <w:color w:val="auto"/>
        </w:rPr>
        <w:t>che l</w:t>
      </w:r>
      <w:r w:rsidR="00113641" w:rsidRPr="00C65CA1">
        <w:rPr>
          <w:rStyle w:val="Enfasidelicata"/>
          <w:i w:val="0"/>
          <w:color w:val="auto"/>
        </w:rPr>
        <w:t>’art. 29 del  DL 90/2014, convertito in legge 114/2014</w:t>
      </w:r>
      <w:r w:rsidR="0071364F">
        <w:rPr>
          <w:rStyle w:val="Enfasidelicata"/>
          <w:i w:val="0"/>
          <w:color w:val="auto"/>
        </w:rPr>
        <w:t>,</w:t>
      </w:r>
      <w:r w:rsidR="00113641" w:rsidRPr="00C65CA1">
        <w:rPr>
          <w:rStyle w:val="Enfasidelicata"/>
          <w:i w:val="0"/>
          <w:color w:val="auto"/>
        </w:rPr>
        <w:t xml:space="preserve"> modificando il comma 52 dell’art. 1 L 190/2012, dispone che  </w:t>
      </w:r>
      <w:r w:rsidR="007F0F4C" w:rsidRPr="00C65CA1">
        <w:rPr>
          <w:rStyle w:val="Enfasidelicata"/>
          <w:i w:val="0"/>
          <w:color w:val="auto"/>
        </w:rPr>
        <w:t xml:space="preserve">per le attività imprenditoriali interessate dagli elenchi white list , </w:t>
      </w:r>
      <w:r w:rsidR="007F0F4C" w:rsidRPr="008F325C">
        <w:rPr>
          <w:rStyle w:val="Enfasidelicata"/>
          <w:b/>
          <w:i w:val="0"/>
          <w:color w:val="auto"/>
        </w:rPr>
        <w:t>la comunicazi</w:t>
      </w:r>
      <w:r w:rsidR="00D15616" w:rsidRPr="008F325C">
        <w:rPr>
          <w:rStyle w:val="Enfasidelicata"/>
          <w:b/>
          <w:i w:val="0"/>
          <w:color w:val="auto"/>
        </w:rPr>
        <w:t>o</w:t>
      </w:r>
      <w:r w:rsidR="007F0F4C" w:rsidRPr="008F325C">
        <w:rPr>
          <w:rStyle w:val="Enfasidelicata"/>
          <w:b/>
          <w:i w:val="0"/>
          <w:color w:val="auto"/>
        </w:rPr>
        <w:t>ne e l’informazione antimafia, è obbligatoriamente acquisita da P.</w:t>
      </w:r>
      <w:r w:rsidR="008F325C" w:rsidRPr="008F325C">
        <w:rPr>
          <w:rStyle w:val="Enfasidelicata"/>
          <w:b/>
          <w:i w:val="0"/>
          <w:color w:val="auto"/>
        </w:rPr>
        <w:t>A</w:t>
      </w:r>
      <w:r w:rsidR="007F0F4C" w:rsidRPr="008F325C">
        <w:rPr>
          <w:rStyle w:val="Enfasidelicata"/>
          <w:b/>
          <w:i w:val="0"/>
          <w:color w:val="auto"/>
        </w:rPr>
        <w:t>. enti pubblici enti/aziende vigilati e/o controllati dallo Stato</w:t>
      </w:r>
      <w:r w:rsidR="007F0F4C" w:rsidRPr="00C65CA1">
        <w:rPr>
          <w:rStyle w:val="Enfasidelicata"/>
          <w:i w:val="0"/>
          <w:color w:val="auto"/>
        </w:rPr>
        <w:t xml:space="preserve"> (soggetti di cui all’art. 83 c.1,2, Dlgs 59/2011)</w:t>
      </w:r>
      <w:r w:rsidR="00D15616" w:rsidRPr="00C65CA1">
        <w:rPr>
          <w:rStyle w:val="Enfasidelicata"/>
          <w:i w:val="0"/>
          <w:color w:val="auto"/>
        </w:rPr>
        <w:t xml:space="preserve">, </w:t>
      </w:r>
      <w:r w:rsidR="00D15616" w:rsidRPr="008F325C">
        <w:rPr>
          <w:rStyle w:val="Enfasidelicata"/>
          <w:b/>
          <w:i w:val="0"/>
          <w:color w:val="auto"/>
        </w:rPr>
        <w:t>attraverso appunto la consultazione degli elenchi istituiti presso  le prefetture</w:t>
      </w:r>
      <w:r w:rsidR="0002788C" w:rsidRPr="00C65CA1">
        <w:rPr>
          <w:rStyle w:val="Enfasidelicata"/>
          <w:i w:val="0"/>
          <w:color w:val="auto"/>
        </w:rPr>
        <w:t>.</w:t>
      </w:r>
    </w:p>
    <w:p w14:paraId="1CBDAA40" w14:textId="3FD4DB24" w:rsidR="006B7DD0" w:rsidRPr="00263EF9" w:rsidRDefault="0002788C" w:rsidP="005A6DE0">
      <w:pPr>
        <w:pStyle w:val="Paragrafoelenco"/>
        <w:jc w:val="both"/>
        <w:rPr>
          <w:rStyle w:val="Enfasidelicata"/>
          <w:color w:val="auto"/>
        </w:rPr>
      </w:pPr>
      <w:r w:rsidRPr="00782947">
        <w:rPr>
          <w:rStyle w:val="Enfasidelicata"/>
          <w:color w:val="auto"/>
        </w:rPr>
        <w:t>“Per quanto riguarda l’obbligo degli operatori e</w:t>
      </w:r>
      <w:r w:rsidR="00CF67A0">
        <w:rPr>
          <w:rStyle w:val="Enfasidelicata"/>
          <w:color w:val="auto"/>
        </w:rPr>
        <w:t xml:space="preserve">conomici che svolgono attività </w:t>
      </w:r>
      <w:r w:rsidRPr="00782947">
        <w:rPr>
          <w:rStyle w:val="Enfasidelicata"/>
          <w:color w:val="auto"/>
        </w:rPr>
        <w:t xml:space="preserve">maggiormente </w:t>
      </w:r>
      <w:r w:rsidR="000A020F" w:rsidRPr="00782947">
        <w:rPr>
          <w:rStyle w:val="Enfasidelicata"/>
          <w:color w:val="auto"/>
        </w:rPr>
        <w:t xml:space="preserve"> </w:t>
      </w:r>
      <w:r w:rsidR="006B7DD0" w:rsidRPr="00782947">
        <w:rPr>
          <w:rStyle w:val="Enfasidelicata"/>
          <w:color w:val="auto"/>
        </w:rPr>
        <w:t>esposte a rischio</w:t>
      </w:r>
      <w:r w:rsidR="00184B97">
        <w:rPr>
          <w:rStyle w:val="Enfasidelicata"/>
          <w:color w:val="auto"/>
        </w:rPr>
        <w:t xml:space="preserve"> </w:t>
      </w:r>
      <w:r w:rsidR="006B7DD0" w:rsidRPr="00782947">
        <w:rPr>
          <w:rStyle w:val="Enfasidelicata"/>
          <w:color w:val="auto"/>
        </w:rPr>
        <w:t xml:space="preserve">di infiltrazione mafiosa, di iscriversi nei citati elenchi, </w:t>
      </w:r>
      <w:r w:rsidR="006B7DD0" w:rsidRPr="00263EF9">
        <w:rPr>
          <w:rStyle w:val="Enfasidelicata"/>
          <w:color w:val="auto"/>
        </w:rPr>
        <w:t>si rileva come lo stesso sia implicitamente  ricavabile dal comma 2 dell’articolo 29, DL 90/2014 che introducendo un regime transitorio, alla disciplina delle verifiche</w:t>
      </w:r>
      <w:r w:rsidR="006B7DD0" w:rsidRPr="00263EF9">
        <w:rPr>
          <w:rStyle w:val="Enfasidelicata"/>
          <w:b/>
          <w:color w:val="auto"/>
        </w:rPr>
        <w:t xml:space="preserve"> t</w:t>
      </w:r>
      <w:r w:rsidR="00263EF9">
        <w:rPr>
          <w:rStyle w:val="Enfasidelicata"/>
          <w:b/>
          <w:color w:val="auto"/>
        </w:rPr>
        <w:t xml:space="preserve">ramite </w:t>
      </w:r>
      <w:r w:rsidR="00263EF9" w:rsidRPr="00263EF9">
        <w:rPr>
          <w:rStyle w:val="Enfasidelicata"/>
          <w:color w:val="auto"/>
        </w:rPr>
        <w:t>elenco</w:t>
      </w:r>
      <w:r w:rsidR="006B7DD0" w:rsidRPr="00263EF9">
        <w:rPr>
          <w:rStyle w:val="Enfasidelicata"/>
          <w:b/>
          <w:color w:val="auto"/>
        </w:rPr>
        <w:t xml:space="preserve"> lascia presupporre l’obbligo anche  per gli operatori di iscriversi  nelle c.d. White List, </w:t>
      </w:r>
      <w:r w:rsidR="006B7DD0" w:rsidRPr="00263EF9">
        <w:rPr>
          <w:rStyle w:val="Enfasidelicata"/>
          <w:color w:val="auto"/>
        </w:rPr>
        <w:t>nella misura in cui la citata iscrizione risulta essere, di fatto, una condizione per ricevere l’affidamento dei relativi contratti.</w:t>
      </w:r>
      <w:r w:rsidR="00782947" w:rsidRPr="00263EF9">
        <w:rPr>
          <w:rStyle w:val="Enfasidelicata"/>
          <w:color w:val="auto"/>
        </w:rPr>
        <w:t>”</w:t>
      </w:r>
    </w:p>
    <w:p w14:paraId="65A98723" w14:textId="283920CA" w:rsidR="0002788C" w:rsidRDefault="00782947" w:rsidP="005A6DE0">
      <w:pPr>
        <w:pStyle w:val="Paragrafoelenco"/>
        <w:jc w:val="both"/>
        <w:rPr>
          <w:rStyle w:val="Enfasidelicata"/>
          <w:i w:val="0"/>
          <w:color w:val="auto"/>
        </w:rPr>
      </w:pPr>
      <w:r>
        <w:rPr>
          <w:rStyle w:val="Enfasidelicata"/>
          <w:i w:val="0"/>
          <w:color w:val="auto"/>
        </w:rPr>
        <w:t>Entro i</w:t>
      </w:r>
      <w:r w:rsidR="006B7DD0">
        <w:rPr>
          <w:rStyle w:val="Enfasidelicata"/>
          <w:i w:val="0"/>
          <w:color w:val="auto"/>
        </w:rPr>
        <w:t>l periodo transitorio previsto dal comma 2 DL 90/2014</w:t>
      </w:r>
      <w:r>
        <w:rPr>
          <w:rStyle w:val="Enfasidelicata"/>
          <w:i w:val="0"/>
          <w:color w:val="auto"/>
        </w:rPr>
        <w:t>,</w:t>
      </w:r>
      <w:r w:rsidR="006B7DD0">
        <w:rPr>
          <w:rStyle w:val="Enfasidelicata"/>
          <w:i w:val="0"/>
          <w:color w:val="auto"/>
        </w:rPr>
        <w:t xml:space="preserve"> pari a dodici mesi</w:t>
      </w:r>
      <w:r>
        <w:rPr>
          <w:rStyle w:val="Enfasidelicata"/>
          <w:i w:val="0"/>
          <w:color w:val="auto"/>
        </w:rPr>
        <w:t>,</w:t>
      </w:r>
      <w:r w:rsidR="006B7DD0">
        <w:rPr>
          <w:rStyle w:val="Enfasidelicata"/>
          <w:i w:val="0"/>
          <w:color w:val="auto"/>
        </w:rPr>
        <w:t xml:space="preserve"> i soggetti di cui all’art. 1 comma 53, L 190/2012, procedono all’affidamento di contratti   </w:t>
      </w:r>
      <w:r w:rsidR="006B7DD0">
        <w:rPr>
          <w:rStyle w:val="Enfasidelicata"/>
          <w:i w:val="0"/>
          <w:color w:val="auto"/>
        </w:rPr>
        <w:lastRenderedPageBreak/>
        <w:t>o all’autorizzazione di subcontratti previo accertamento dell’avvenuta presentazione della domanda di iscrizione nelle white list.</w:t>
      </w:r>
    </w:p>
    <w:p w14:paraId="217E92DE" w14:textId="4064CC47" w:rsidR="0068664B" w:rsidRDefault="0068664B" w:rsidP="005A6DE0">
      <w:pPr>
        <w:pStyle w:val="Paragrafoelenco"/>
        <w:jc w:val="both"/>
        <w:rPr>
          <w:rStyle w:val="Enfasidelicata"/>
          <w:color w:val="auto"/>
        </w:rPr>
      </w:pPr>
      <w:r>
        <w:rPr>
          <w:rStyle w:val="Enfasidelicata"/>
          <w:i w:val="0"/>
          <w:color w:val="auto"/>
        </w:rPr>
        <w:t xml:space="preserve">“… </w:t>
      </w:r>
      <w:r w:rsidRPr="0068664B">
        <w:rPr>
          <w:rStyle w:val="Enfasidelicata"/>
          <w:color w:val="auto"/>
        </w:rPr>
        <w:t>dalla speciale previsione secondo cui la sola presentazione della domanda di iscrizione può essere ritenuta idonea condizione per l’affidamento del contratto… se ne può ricavare, in via interpretativa, la sussistenza  di una regola generale che attribuisce all’iscrizione delle imprese nei medesimi elenchi la natura di condizione necessaria per ottenere l’affidamento di contratti  nei settori di cui al comma 53 dell’articolo 1 della legge anticorruzione (</w:t>
      </w:r>
      <w:r w:rsidRPr="0068664B">
        <w:rPr>
          <w:rStyle w:val="Enfasidelicata"/>
          <w:b/>
          <w:color w:val="auto"/>
        </w:rPr>
        <w:t>ciò che rende l’iscrizione, di fatto, obbligatoria</w:t>
      </w:r>
      <w:r w:rsidRPr="0068664B">
        <w:rPr>
          <w:rStyle w:val="Enfasidelicata"/>
          <w:color w:val="auto"/>
        </w:rPr>
        <w:t>)”</w:t>
      </w:r>
      <w:r w:rsidR="007F2BA3">
        <w:rPr>
          <w:rStyle w:val="Enfasidelicata"/>
          <w:color w:val="auto"/>
        </w:rPr>
        <w:t>.</w:t>
      </w:r>
    </w:p>
    <w:p w14:paraId="58333AD4" w14:textId="2C3AE8DF" w:rsidR="007F2BA3" w:rsidRPr="0068664B" w:rsidRDefault="007F2BA3" w:rsidP="005A6DE0">
      <w:pPr>
        <w:pStyle w:val="Paragrafoelenco"/>
        <w:jc w:val="both"/>
        <w:rPr>
          <w:rStyle w:val="Enfasidelicata"/>
          <w:color w:val="auto"/>
        </w:rPr>
      </w:pPr>
      <w:r w:rsidRPr="007F2BA3">
        <w:rPr>
          <w:rStyle w:val="Enfasidelicata"/>
          <w:i w:val="0"/>
          <w:color w:val="auto"/>
        </w:rPr>
        <w:t xml:space="preserve">La risoluzione conclude </w:t>
      </w:r>
      <w:r>
        <w:rPr>
          <w:rStyle w:val="Enfasidelicata"/>
          <w:i w:val="0"/>
          <w:color w:val="auto"/>
        </w:rPr>
        <w:t xml:space="preserve">auspicando un opportuno </w:t>
      </w:r>
      <w:r w:rsidRPr="007F2BA3">
        <w:rPr>
          <w:rStyle w:val="Enfasidelicata"/>
          <w:i w:val="0"/>
          <w:color w:val="auto"/>
        </w:rPr>
        <w:t>intervento legislativo che preveda espressamente l’obbligatorietà dell’iscrizione negli elenchi c.d. white list</w:t>
      </w:r>
      <w:r>
        <w:rPr>
          <w:rStyle w:val="Enfasidelicata"/>
          <w:color w:val="auto"/>
        </w:rPr>
        <w:t xml:space="preserve"> , ” nel senso di esplicitare l’obbligo di iscrizione nei citati elenchi per le imprese che svolgono le attività di cui al richiamato comma 53”.</w:t>
      </w:r>
    </w:p>
    <w:sectPr w:rsidR="007F2BA3" w:rsidRPr="0068664B" w:rsidSect="00C30A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06"/>
    <w:multiLevelType w:val="hybridMultilevel"/>
    <w:tmpl w:val="C8C49364"/>
    <w:lvl w:ilvl="0" w:tplc="5824CA9E">
      <w:start w:val="1"/>
      <w:numFmt w:val="lowerLetter"/>
      <w:lvlText w:val="%1)"/>
      <w:lvlJc w:val="left"/>
      <w:pPr>
        <w:ind w:left="644" w:hanging="360"/>
      </w:pPr>
      <w:rPr>
        <w:rFonts w:asciiTheme="minorHAnsi" w:hAnsiTheme="minorHAnsi" w:cstheme="minorBidi" w:hint="default"/>
        <w:color w:val="auto"/>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23C14ECB"/>
    <w:multiLevelType w:val="hybridMultilevel"/>
    <w:tmpl w:val="1DFE0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3B735C"/>
    <w:multiLevelType w:val="hybridMultilevel"/>
    <w:tmpl w:val="DF929D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4E"/>
    <w:rsid w:val="0002788C"/>
    <w:rsid w:val="00075633"/>
    <w:rsid w:val="000A020F"/>
    <w:rsid w:val="00113641"/>
    <w:rsid w:val="00184B97"/>
    <w:rsid w:val="001B41C0"/>
    <w:rsid w:val="001E67D5"/>
    <w:rsid w:val="00260EE4"/>
    <w:rsid w:val="00263EF9"/>
    <w:rsid w:val="00277678"/>
    <w:rsid w:val="0032564E"/>
    <w:rsid w:val="003D423A"/>
    <w:rsid w:val="00595344"/>
    <w:rsid w:val="005A6DE0"/>
    <w:rsid w:val="005B6142"/>
    <w:rsid w:val="005C084D"/>
    <w:rsid w:val="00620333"/>
    <w:rsid w:val="00633052"/>
    <w:rsid w:val="00656290"/>
    <w:rsid w:val="0068664B"/>
    <w:rsid w:val="006B7DD0"/>
    <w:rsid w:val="0071364F"/>
    <w:rsid w:val="00782947"/>
    <w:rsid w:val="00784C8E"/>
    <w:rsid w:val="0079356C"/>
    <w:rsid w:val="007F0F4C"/>
    <w:rsid w:val="007F2BA3"/>
    <w:rsid w:val="00881272"/>
    <w:rsid w:val="0089231E"/>
    <w:rsid w:val="008E1D5E"/>
    <w:rsid w:val="008F325C"/>
    <w:rsid w:val="009133AE"/>
    <w:rsid w:val="00B426C4"/>
    <w:rsid w:val="00B55BBB"/>
    <w:rsid w:val="00BA72D8"/>
    <w:rsid w:val="00C30A84"/>
    <w:rsid w:val="00C47B65"/>
    <w:rsid w:val="00C65CA1"/>
    <w:rsid w:val="00CC722F"/>
    <w:rsid w:val="00CF67A0"/>
    <w:rsid w:val="00D15616"/>
    <w:rsid w:val="00DC06A6"/>
    <w:rsid w:val="00E228B5"/>
    <w:rsid w:val="00E40DE4"/>
    <w:rsid w:val="00F170A8"/>
    <w:rsid w:val="00FF6F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DA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pacing w:val="-2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65C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C65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65CA1"/>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65CA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65CA1"/>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C65C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CA1"/>
    <w:pPr>
      <w:ind w:left="720"/>
      <w:contextualSpacing/>
    </w:pPr>
    <w:rPr>
      <w:rFonts w:asciiTheme="minorHAnsi" w:hAnsiTheme="minorHAnsi" w:cstheme="minorBidi"/>
      <w:spacing w:val="0"/>
    </w:rPr>
  </w:style>
  <w:style w:type="paragraph" w:styleId="Nessunaspaziatura">
    <w:name w:val="No Spacing"/>
    <w:uiPriority w:val="1"/>
    <w:qFormat/>
    <w:rsid w:val="00C65CA1"/>
  </w:style>
  <w:style w:type="character" w:customStyle="1" w:styleId="Titolo1Carattere">
    <w:name w:val="Titolo 1 Carattere"/>
    <w:basedOn w:val="Caratterepredefinitoparagrafo"/>
    <w:link w:val="Titolo1"/>
    <w:uiPriority w:val="9"/>
    <w:rsid w:val="00C65CA1"/>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C65CA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C65CA1"/>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rsid w:val="00C65CA1"/>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C65CA1"/>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rsid w:val="00C65CA1"/>
    <w:rPr>
      <w:rFonts w:asciiTheme="majorHAnsi" w:eastAsiaTheme="majorEastAsia" w:hAnsiTheme="majorHAnsi" w:cstheme="majorBidi"/>
      <w:i/>
      <w:iCs/>
      <w:color w:val="243F60" w:themeColor="accent1" w:themeShade="7F"/>
    </w:rPr>
  </w:style>
  <w:style w:type="paragraph" w:styleId="Sottotitolo">
    <w:name w:val="Subtitle"/>
    <w:basedOn w:val="Normale"/>
    <w:next w:val="Normale"/>
    <w:link w:val="SottotitoloCarattere"/>
    <w:uiPriority w:val="11"/>
    <w:qFormat/>
    <w:rsid w:val="00C65CA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C65CA1"/>
    <w:rPr>
      <w:rFonts w:asciiTheme="majorHAnsi" w:eastAsiaTheme="majorEastAsia" w:hAnsiTheme="majorHAnsi" w:cstheme="majorBidi"/>
      <w:i/>
      <w:iCs/>
      <w:color w:val="4F81BD" w:themeColor="accent1"/>
      <w:spacing w:val="15"/>
    </w:rPr>
  </w:style>
  <w:style w:type="paragraph" w:styleId="Titolo">
    <w:name w:val="Title"/>
    <w:basedOn w:val="Normale"/>
    <w:next w:val="Normale"/>
    <w:link w:val="TitoloCarattere"/>
    <w:uiPriority w:val="10"/>
    <w:qFormat/>
    <w:rsid w:val="00C65C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C65CA1"/>
    <w:rPr>
      <w:rFonts w:asciiTheme="majorHAnsi" w:eastAsiaTheme="majorEastAsia" w:hAnsiTheme="majorHAnsi" w:cstheme="majorBidi"/>
      <w:color w:val="17365D" w:themeColor="text2" w:themeShade="BF"/>
      <w:spacing w:val="5"/>
      <w:kern w:val="28"/>
      <w:sz w:val="52"/>
      <w:szCs w:val="52"/>
    </w:rPr>
  </w:style>
  <w:style w:type="character" w:styleId="Enfasidelicata">
    <w:name w:val="Subtle Emphasis"/>
    <w:basedOn w:val="Caratterepredefinitoparagrafo"/>
    <w:uiPriority w:val="19"/>
    <w:qFormat/>
    <w:rsid w:val="00C65CA1"/>
    <w:rPr>
      <w:i/>
      <w:iCs/>
      <w:color w:val="808080" w:themeColor="text1" w:themeTint="7F"/>
    </w:rPr>
  </w:style>
  <w:style w:type="paragraph" w:styleId="Citazione">
    <w:name w:val="Quote"/>
    <w:basedOn w:val="Normale"/>
    <w:next w:val="Normale"/>
    <w:link w:val="CitazioneCarattere"/>
    <w:uiPriority w:val="29"/>
    <w:qFormat/>
    <w:rsid w:val="00C65CA1"/>
    <w:rPr>
      <w:i/>
      <w:iCs/>
      <w:color w:val="000000" w:themeColor="text1"/>
    </w:rPr>
  </w:style>
  <w:style w:type="character" w:customStyle="1" w:styleId="CitazioneCarattere">
    <w:name w:val="Citazione Carattere"/>
    <w:basedOn w:val="Caratterepredefinitoparagrafo"/>
    <w:link w:val="Citazione"/>
    <w:uiPriority w:val="29"/>
    <w:rsid w:val="00C65CA1"/>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pacing w:val="-2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65C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C65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65CA1"/>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65CA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65CA1"/>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C65C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CA1"/>
    <w:pPr>
      <w:ind w:left="720"/>
      <w:contextualSpacing/>
    </w:pPr>
    <w:rPr>
      <w:rFonts w:asciiTheme="minorHAnsi" w:hAnsiTheme="minorHAnsi" w:cstheme="minorBidi"/>
      <w:spacing w:val="0"/>
    </w:rPr>
  </w:style>
  <w:style w:type="paragraph" w:styleId="Nessunaspaziatura">
    <w:name w:val="No Spacing"/>
    <w:uiPriority w:val="1"/>
    <w:qFormat/>
    <w:rsid w:val="00C65CA1"/>
  </w:style>
  <w:style w:type="character" w:customStyle="1" w:styleId="Titolo1Carattere">
    <w:name w:val="Titolo 1 Carattere"/>
    <w:basedOn w:val="Caratterepredefinitoparagrafo"/>
    <w:link w:val="Titolo1"/>
    <w:uiPriority w:val="9"/>
    <w:rsid w:val="00C65CA1"/>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C65CA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C65CA1"/>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rsid w:val="00C65CA1"/>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C65CA1"/>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rsid w:val="00C65CA1"/>
    <w:rPr>
      <w:rFonts w:asciiTheme="majorHAnsi" w:eastAsiaTheme="majorEastAsia" w:hAnsiTheme="majorHAnsi" w:cstheme="majorBidi"/>
      <w:i/>
      <w:iCs/>
      <w:color w:val="243F60" w:themeColor="accent1" w:themeShade="7F"/>
    </w:rPr>
  </w:style>
  <w:style w:type="paragraph" w:styleId="Sottotitolo">
    <w:name w:val="Subtitle"/>
    <w:basedOn w:val="Normale"/>
    <w:next w:val="Normale"/>
    <w:link w:val="SottotitoloCarattere"/>
    <w:uiPriority w:val="11"/>
    <w:qFormat/>
    <w:rsid w:val="00C65CA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C65CA1"/>
    <w:rPr>
      <w:rFonts w:asciiTheme="majorHAnsi" w:eastAsiaTheme="majorEastAsia" w:hAnsiTheme="majorHAnsi" w:cstheme="majorBidi"/>
      <w:i/>
      <w:iCs/>
      <w:color w:val="4F81BD" w:themeColor="accent1"/>
      <w:spacing w:val="15"/>
    </w:rPr>
  </w:style>
  <w:style w:type="paragraph" w:styleId="Titolo">
    <w:name w:val="Title"/>
    <w:basedOn w:val="Normale"/>
    <w:next w:val="Normale"/>
    <w:link w:val="TitoloCarattere"/>
    <w:uiPriority w:val="10"/>
    <w:qFormat/>
    <w:rsid w:val="00C65C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C65CA1"/>
    <w:rPr>
      <w:rFonts w:asciiTheme="majorHAnsi" w:eastAsiaTheme="majorEastAsia" w:hAnsiTheme="majorHAnsi" w:cstheme="majorBidi"/>
      <w:color w:val="17365D" w:themeColor="text2" w:themeShade="BF"/>
      <w:spacing w:val="5"/>
      <w:kern w:val="28"/>
      <w:sz w:val="52"/>
      <w:szCs w:val="52"/>
    </w:rPr>
  </w:style>
  <w:style w:type="character" w:styleId="Enfasidelicata">
    <w:name w:val="Subtle Emphasis"/>
    <w:basedOn w:val="Caratterepredefinitoparagrafo"/>
    <w:uiPriority w:val="19"/>
    <w:qFormat/>
    <w:rsid w:val="00C65CA1"/>
    <w:rPr>
      <w:i/>
      <w:iCs/>
      <w:color w:val="808080" w:themeColor="text1" w:themeTint="7F"/>
    </w:rPr>
  </w:style>
  <w:style w:type="paragraph" w:styleId="Citazione">
    <w:name w:val="Quote"/>
    <w:basedOn w:val="Normale"/>
    <w:next w:val="Normale"/>
    <w:link w:val="CitazioneCarattere"/>
    <w:uiPriority w:val="29"/>
    <w:qFormat/>
    <w:rsid w:val="00C65CA1"/>
    <w:rPr>
      <w:i/>
      <w:iCs/>
      <w:color w:val="000000" w:themeColor="text1"/>
    </w:rPr>
  </w:style>
  <w:style w:type="character" w:customStyle="1" w:styleId="CitazioneCarattere">
    <w:name w:val="Citazione Carattere"/>
    <w:basedOn w:val="Caratterepredefinitoparagrafo"/>
    <w:link w:val="Citazione"/>
    <w:uiPriority w:val="29"/>
    <w:rsid w:val="00C65CA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588</Words>
  <Characters>3352</Characters>
  <Application>Microsoft Macintosh Word</Application>
  <DocSecurity>0</DocSecurity>
  <Lines>27</Lines>
  <Paragraphs>7</Paragraphs>
  <ScaleCrop>false</ScaleCrop>
  <Company>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Di Mario</dc:creator>
  <cp:keywords/>
  <dc:description/>
  <cp:lastModifiedBy>Raffaella Di Mario</cp:lastModifiedBy>
  <cp:revision>46</cp:revision>
  <dcterms:created xsi:type="dcterms:W3CDTF">2015-02-13T10:41:00Z</dcterms:created>
  <dcterms:modified xsi:type="dcterms:W3CDTF">2015-02-18T10:20:00Z</dcterms:modified>
</cp:coreProperties>
</file>