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C8D" w14:textId="77777777" w:rsidR="003C37BF" w:rsidRDefault="003C37BF" w:rsidP="00A813A3">
      <w:pPr>
        <w:ind w:left="284" w:right="282"/>
        <w:jc w:val="center"/>
      </w:pPr>
      <w:r>
        <w:rPr>
          <w:noProof/>
          <w:lang w:eastAsia="it-IT"/>
        </w:rPr>
        <w:drawing>
          <wp:inline distT="0" distB="0" distL="0" distR="0" wp14:anchorId="0F02D3FE" wp14:editId="7A8B7C6E">
            <wp:extent cx="1479550" cy="10160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F994" w14:textId="6F9983E6" w:rsidR="003C37BF" w:rsidRPr="00590517" w:rsidRDefault="003C37BF" w:rsidP="00A813A3">
      <w:pPr>
        <w:spacing w:after="0"/>
        <w:ind w:left="284" w:right="282"/>
        <w:jc w:val="center"/>
        <w:rPr>
          <w:bCs/>
          <w:i/>
          <w:sz w:val="28"/>
          <w:szCs w:val="28"/>
        </w:rPr>
      </w:pPr>
    </w:p>
    <w:p w14:paraId="60EB9F1D" w14:textId="1DF43379" w:rsidR="00443712" w:rsidRDefault="00443712" w:rsidP="00443712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Lettera del Vice Presidente Vicario di Confindustria Chieti Pescara Ing. Umberto Sgambati</w:t>
      </w:r>
    </w:p>
    <w:p w14:paraId="4A43FCA4" w14:textId="77777777" w:rsidR="00443712" w:rsidRDefault="00443712" w:rsidP="004437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C67637A" w14:textId="59B8A3C0" w:rsidR="00443712" w:rsidRDefault="00443712" w:rsidP="00443712">
      <w:pPr>
        <w:ind w:right="282"/>
        <w:jc w:val="right"/>
        <w:rPr>
          <w:sz w:val="24"/>
          <w:szCs w:val="24"/>
        </w:rPr>
      </w:pPr>
      <w:r w:rsidRPr="00A813A3">
        <w:rPr>
          <w:i/>
          <w:sz w:val="24"/>
          <w:szCs w:val="24"/>
        </w:rPr>
        <w:t>Pescara, 21 luglio 2021</w:t>
      </w:r>
      <w:r w:rsidRPr="00A813A3">
        <w:rPr>
          <w:sz w:val="24"/>
          <w:szCs w:val="24"/>
        </w:rPr>
        <w:t xml:space="preserve"> </w:t>
      </w:r>
    </w:p>
    <w:p w14:paraId="1B6EDA90" w14:textId="77777777" w:rsidR="00443712" w:rsidRDefault="00443712" w:rsidP="00443712">
      <w:pPr>
        <w:ind w:right="282"/>
        <w:jc w:val="both"/>
        <w:rPr>
          <w:sz w:val="24"/>
          <w:szCs w:val="24"/>
        </w:rPr>
      </w:pPr>
    </w:p>
    <w:p w14:paraId="2D400901" w14:textId="025B677B" w:rsidR="00443712" w:rsidRPr="00C24D63" w:rsidRDefault="00443712" w:rsidP="00443712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L’Ingegneria del</w:t>
      </w:r>
      <w:r w:rsidRPr="00C24D63">
        <w:rPr>
          <w:rFonts w:ascii="Arial" w:hAnsi="Arial" w:cs="Arial"/>
          <w:b/>
          <w:color w:val="000000" w:themeColor="text1"/>
        </w:rPr>
        <w:t>la Trans</w:t>
      </w:r>
      <w:r w:rsidR="0057420A">
        <w:rPr>
          <w:rFonts w:ascii="Arial" w:hAnsi="Arial" w:cs="Arial"/>
          <w:b/>
          <w:color w:val="000000" w:themeColor="text1"/>
        </w:rPr>
        <w:t>i</w:t>
      </w:r>
      <w:r w:rsidRPr="00C24D63">
        <w:rPr>
          <w:rFonts w:ascii="Arial" w:hAnsi="Arial" w:cs="Arial"/>
          <w:b/>
          <w:color w:val="000000" w:themeColor="text1"/>
        </w:rPr>
        <w:t>zione</w:t>
      </w:r>
    </w:p>
    <w:p w14:paraId="0CA634A6" w14:textId="77777777" w:rsidR="00443712" w:rsidRPr="00C24D63" w:rsidRDefault="00443712" w:rsidP="00443712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14:paraId="5F3E6A24" w14:textId="77777777" w:rsidR="00443712" w:rsidRPr="00C24D63" w:rsidRDefault="00443712" w:rsidP="00443712">
      <w:pPr>
        <w:spacing w:after="0"/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>Viviamo una fase storica in cui tutti i riferimenti tecnologici sembrano essere superati dall’irruzione di cambiamenti epocali che impongono una rapida transizione verso il Nuovo. Ma l’attesa quasi messianica di straordinarie innovazioni da qui a 10, 20 anni e più, rischia di frenare il rinnovamento dell’esistente, fisiologico per obsolescenza o conveniente sulla base di un’analisi tecnico/economica, per il timore di ritrovarsi con opere già superate al momento di entrare in esercizio o poco dopo (gli “stranded asset”).</w:t>
      </w:r>
    </w:p>
    <w:p w14:paraId="787ADCDD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>D’altra parte</w:t>
      </w:r>
      <w:r>
        <w:rPr>
          <w:rFonts w:ascii="Arial" w:hAnsi="Arial" w:cs="Arial"/>
          <w:color w:val="000000" w:themeColor="text1"/>
        </w:rPr>
        <w:t>,</w:t>
      </w:r>
      <w:r w:rsidRPr="00C24D63">
        <w:rPr>
          <w:rFonts w:ascii="Arial" w:hAnsi="Arial" w:cs="Arial"/>
          <w:color w:val="000000" w:themeColor="text1"/>
        </w:rPr>
        <w:t xml:space="preserve"> dispiegare da subito tecnologie ancora lontane dalla piena maturità non sarebbe economicamente sostenibile: non lo sarebbe evidentemente per le Aziende, ma neanche per lo Stato, che dovrebbe impegnare risorse ingenti sotto forma di incentivi (un film purtroppo già visto!)</w:t>
      </w:r>
    </w:p>
    <w:p w14:paraId="1C77F8CF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 xml:space="preserve">La combinazione di questi elementi rischia di trasformare la </w:t>
      </w:r>
      <w:r w:rsidRPr="00C24D63">
        <w:rPr>
          <w:rFonts w:ascii="Arial" w:hAnsi="Arial" w:cs="Arial"/>
          <w:i/>
          <w:color w:val="000000" w:themeColor="text1"/>
        </w:rPr>
        <w:t>Transizione Ecologica</w:t>
      </w:r>
      <w:r w:rsidRPr="00C24D63">
        <w:rPr>
          <w:rFonts w:ascii="Arial" w:hAnsi="Arial" w:cs="Arial"/>
          <w:color w:val="000000" w:themeColor="text1"/>
        </w:rPr>
        <w:t xml:space="preserve"> in una sterile gara alla diffusione di messaggi evocativi che promettono impegni ambiziosissimi, ma per il lontano Futuro. Con il concreto rischio che gli impegni rimangano tali e raggiungano al più il magro risultato di migliorare a breve termine ed a buon prezzo la reputazione di chi di volta in volta li dichiara.</w:t>
      </w:r>
    </w:p>
    <w:p w14:paraId="4190CDAE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 xml:space="preserve">Invece la Transizione è una dura corsa a tappe, ciascuna ugualmente importante, perché tutte assieme disegnano una traiettoria autenticamente sostenibile verso il Nuovo, che non sarà mai raggiunto con un sol balzo, né con passi incerti o troppo lunghi. </w:t>
      </w:r>
    </w:p>
    <w:p w14:paraId="6B2F53B1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 xml:space="preserve">Decidere il numero, la lunghezza e la durata di ogni tappa; individuare e dispiegare tecnologie innovative già sufficientemente mature, e soprattutto idonee al contesto nazionale; metterne a punto di nuove, sviluppandole e sperimentandole in modo che siano a loro volta disponibili per le tappe successive e siano occasione di crescita di filiere industriali nazionale; impiegare i migliori strumenti di partenariato tra pubblico e privato, e se necessario migliorarli, per massimizzarne i benefici, riducendo tempi e rischi di questa lunga marcia. Ecco: tutto questo costituisce a mio avviso la vera sfida della </w:t>
      </w:r>
      <w:r w:rsidRPr="00C24D63">
        <w:rPr>
          <w:rFonts w:ascii="Arial" w:hAnsi="Arial" w:cs="Arial"/>
          <w:i/>
          <w:color w:val="000000" w:themeColor="text1"/>
        </w:rPr>
        <w:t>Transizione</w:t>
      </w:r>
      <w:r w:rsidRPr="00C24D63">
        <w:rPr>
          <w:rFonts w:ascii="Arial" w:hAnsi="Arial" w:cs="Arial"/>
          <w:color w:val="000000" w:themeColor="text1"/>
        </w:rPr>
        <w:t>.</w:t>
      </w:r>
    </w:p>
    <w:p w14:paraId="11AA9215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>La sfida scientifica, tecnologica e gestionale che ci attende - benché di portata epocale - non è l’unica, specialmente se si guarda al PNRR come al primo passo. Ne vanno aggiunte almeno altre due: una di ordine Economico, l’altra di ordine Sociale.</w:t>
      </w:r>
    </w:p>
    <w:p w14:paraId="57B2EEF1" w14:textId="77777777" w:rsidR="00443712" w:rsidRPr="00C24D63" w:rsidRDefault="00443712" w:rsidP="00443712">
      <w:pPr>
        <w:spacing w:after="0"/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>Perché possa affermarsi un nuovo modello di sviluppo che, per citare le parole del Green Deal europeo, consenta “</w:t>
      </w:r>
      <w:r w:rsidRPr="00C24D63">
        <w:rPr>
          <w:rFonts w:ascii="Arial" w:hAnsi="Arial" w:cs="Arial"/>
          <w:i/>
          <w:iCs/>
          <w:color w:val="000000" w:themeColor="text1"/>
        </w:rPr>
        <w:t xml:space="preserve">di azzerare le emissioni di gas serra entro il 2050, in tutti i settori dell’economia </w:t>
      </w:r>
      <w:r w:rsidRPr="00C24D63">
        <w:rPr>
          <w:rFonts w:ascii="Arial" w:hAnsi="Arial" w:cs="Arial"/>
          <w:i/>
          <w:iCs/>
          <w:color w:val="000000" w:themeColor="text1"/>
        </w:rPr>
        <w:lastRenderedPageBreak/>
        <w:t xml:space="preserve">senza compromettere la crescita economica, anzi favorendola”, </w:t>
      </w:r>
      <w:r w:rsidRPr="00C24D63">
        <w:rPr>
          <w:rFonts w:ascii="Arial" w:hAnsi="Arial" w:cs="Arial"/>
          <w:color w:val="000000" w:themeColor="text1"/>
        </w:rPr>
        <w:t>occorre investire risorse ingentissime in nuove tecnologie, usando strumenti commisurati al livello di maturità tecnologica raggiunta.</w:t>
      </w:r>
    </w:p>
    <w:p w14:paraId="0685800D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>Per la sostenibilità economica della Transizione sarà perciò cruciale scegliere gli strumenti regolatori e finanziari più adatti. E specialmente per il rapido dispiegamento delle tecnologie mature (necessità inderogabile nel caso del PNRR), il partenariato Pubblico-Privato appare tra i più efficaci al coinvolgimento delle migliori capacità ingegneristiche, manageriali, imprenditoriali e finanziarie. Si rivelerà a tal proposito fondamentale il coinvolgimento di Aziende leader, ben radicate nel Territorio ma dotate di antenne nei mercati internazionali, che sappiano sviluppare la capacità e la creatività delle eccellenze locali, integrandole con le migliori tecnologie disponibili globalmente.</w:t>
      </w:r>
    </w:p>
    <w:p w14:paraId="4A8E26CC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 xml:space="preserve">La sfida di ordine sociale riguarda invece da una parte il rischio che il prezzo più pesante della Transizione sia (o venga anche solo percepito) a carico delle fascia meno abbiente della popolazione; dall’altra, l’opposizione locale al rilascio delle autorizzazioni necessarie alla realizzazione della grande quantità di impianti ed infrastrutture - in parte rifacimenti dell’esistente, ma anche di nuova costruzione - indispensabili per concretizzare le numerose tappe della </w:t>
      </w:r>
      <w:r w:rsidRPr="00C24D63">
        <w:rPr>
          <w:rFonts w:ascii="Arial" w:hAnsi="Arial" w:cs="Arial"/>
          <w:i/>
          <w:color w:val="000000" w:themeColor="text1"/>
        </w:rPr>
        <w:t xml:space="preserve">Transizione, </w:t>
      </w:r>
      <w:r w:rsidRPr="00C24D63">
        <w:rPr>
          <w:rFonts w:ascii="Arial" w:hAnsi="Arial" w:cs="Arial"/>
          <w:color w:val="000000" w:themeColor="text1"/>
        </w:rPr>
        <w:t>che richiederanno opere di ogni genere, spesso di taglia e dimensioni senza precedenti.</w:t>
      </w:r>
    </w:p>
    <w:p w14:paraId="4A73432A" w14:textId="77777777" w:rsidR="00443712" w:rsidRPr="00C24D63" w:rsidRDefault="00443712" w:rsidP="00443712">
      <w:pPr>
        <w:jc w:val="both"/>
        <w:rPr>
          <w:rFonts w:ascii="Arial" w:hAnsi="Arial" w:cs="Arial"/>
          <w:color w:val="000000" w:themeColor="text1"/>
        </w:rPr>
      </w:pPr>
      <w:r w:rsidRPr="00C24D63">
        <w:rPr>
          <w:rFonts w:ascii="Arial" w:hAnsi="Arial" w:cs="Arial"/>
          <w:color w:val="000000" w:themeColor="text1"/>
        </w:rPr>
        <w:t xml:space="preserve">Per vincere la sfida, è indispensabile disegnare interventi sostenibili non solo dal punto di vista ambientale, ma anche economico e sociale, e che concretamente (non solo a parole) realizzino la </w:t>
      </w:r>
      <w:r w:rsidRPr="00C24D63">
        <w:rPr>
          <w:rFonts w:ascii="Arial" w:hAnsi="Arial" w:cs="Arial"/>
          <w:i/>
          <w:color w:val="000000" w:themeColor="text1"/>
        </w:rPr>
        <w:t>Transizione</w:t>
      </w:r>
      <w:r w:rsidRPr="00C24D63">
        <w:rPr>
          <w:rFonts w:ascii="Arial" w:hAnsi="Arial" w:cs="Arial"/>
          <w:color w:val="000000" w:themeColor="text1"/>
        </w:rPr>
        <w:t>, passo dopo passo, evitando sia salti bruschi che eccessi di prudenza; interventi basati su uno stretto e leale rapporto con il Territorio, in modo da aumentarne il consenso, con il coinvolgimento della progettualità e delle risorse locali ad opera delle migliori e più organizzate realtà imprenditoriali, che seguano efficacemente le linee guida definite dal regolatore pubblico e operino con il controllo e la supervisione di quest’ultimo.</w:t>
      </w:r>
    </w:p>
    <w:p w14:paraId="42E4810B" w14:textId="77777777" w:rsidR="00443712" w:rsidRPr="00C24D63" w:rsidRDefault="00443712" w:rsidP="00443712">
      <w:pPr>
        <w:jc w:val="both"/>
        <w:rPr>
          <w:rFonts w:ascii="Arial" w:hAnsi="Arial" w:cs="Arial"/>
        </w:rPr>
      </w:pPr>
      <w:r w:rsidRPr="00C24D63">
        <w:rPr>
          <w:rFonts w:ascii="Arial" w:hAnsi="Arial" w:cs="Arial"/>
        </w:rPr>
        <w:t xml:space="preserve">In estrema sintesi, occorre </w:t>
      </w:r>
      <w:r w:rsidRPr="00C24D63">
        <w:rPr>
          <w:rFonts w:ascii="Arial" w:hAnsi="Arial" w:cs="Arial"/>
          <w:b/>
          <w:bCs/>
          <w:i/>
          <w:iCs/>
        </w:rPr>
        <w:t>Ingegnerizzare la Transizione.</w:t>
      </w:r>
    </w:p>
    <w:p w14:paraId="53375438" w14:textId="77777777" w:rsidR="00443712" w:rsidRPr="00C24D63" w:rsidRDefault="00443712" w:rsidP="00443712">
      <w:pPr>
        <w:jc w:val="both"/>
        <w:rPr>
          <w:rFonts w:ascii="Arial" w:hAnsi="Arial" w:cs="Arial"/>
        </w:rPr>
      </w:pPr>
    </w:p>
    <w:p w14:paraId="0CA6BE4A" w14:textId="77777777" w:rsidR="00443712" w:rsidRPr="00C24D63" w:rsidRDefault="00443712" w:rsidP="00443712">
      <w:pPr>
        <w:jc w:val="both"/>
        <w:rPr>
          <w:rFonts w:ascii="Arial" w:hAnsi="Arial" w:cs="Arial"/>
        </w:rPr>
      </w:pPr>
      <w:r w:rsidRPr="00C24D63">
        <w:rPr>
          <w:rFonts w:ascii="Arial" w:hAnsi="Arial" w:cs="Arial"/>
        </w:rPr>
        <w:t>Umberto Sgambati</w:t>
      </w:r>
    </w:p>
    <w:p w14:paraId="73DEDD78" w14:textId="77777777" w:rsidR="00443712" w:rsidRPr="00C24D63" w:rsidRDefault="00443712" w:rsidP="00443712">
      <w:pPr>
        <w:jc w:val="both"/>
        <w:rPr>
          <w:rFonts w:ascii="Arial" w:hAnsi="Arial" w:cs="Arial"/>
        </w:rPr>
      </w:pPr>
      <w:r w:rsidRPr="00C24D63">
        <w:rPr>
          <w:rFonts w:ascii="Arial" w:hAnsi="Arial" w:cs="Arial"/>
        </w:rPr>
        <w:t>Amministratore Delegato di PROGER SpA</w:t>
      </w:r>
    </w:p>
    <w:p w14:paraId="47E33476" w14:textId="77777777" w:rsidR="00443712" w:rsidRPr="00C24D63" w:rsidRDefault="00443712" w:rsidP="00443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Pr="00C24D63">
        <w:rPr>
          <w:rFonts w:ascii="Arial" w:hAnsi="Arial" w:cs="Arial"/>
        </w:rPr>
        <w:t>Presidente Vicario di Confindustria Chieti</w:t>
      </w:r>
      <w:r>
        <w:rPr>
          <w:rFonts w:ascii="Arial" w:hAnsi="Arial" w:cs="Arial"/>
        </w:rPr>
        <w:t xml:space="preserve"> </w:t>
      </w:r>
      <w:r w:rsidRPr="00C24D63">
        <w:rPr>
          <w:rFonts w:ascii="Arial" w:hAnsi="Arial" w:cs="Arial"/>
        </w:rPr>
        <w:t>Pescara</w:t>
      </w:r>
    </w:p>
    <w:p w14:paraId="7BFF1F45" w14:textId="0EC61A4C" w:rsidR="008112EE" w:rsidRPr="00A813A3" w:rsidRDefault="008112EE" w:rsidP="00443712">
      <w:pPr>
        <w:spacing w:after="0" w:line="240" w:lineRule="auto"/>
        <w:ind w:left="284" w:right="284"/>
        <w:jc w:val="both"/>
        <w:rPr>
          <w:sz w:val="24"/>
          <w:szCs w:val="24"/>
        </w:rPr>
      </w:pPr>
    </w:p>
    <w:sectPr w:rsidR="008112EE" w:rsidRPr="00A813A3" w:rsidSect="00A813A3">
      <w:footerReference w:type="default" r:id="rId7"/>
      <w:pgSz w:w="11906" w:h="16838"/>
      <w:pgMar w:top="1276" w:right="1134" w:bottom="1843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22CE" w14:textId="77777777" w:rsidR="00BF52FE" w:rsidRDefault="00BF52FE" w:rsidP="00417668">
      <w:pPr>
        <w:spacing w:after="0" w:line="240" w:lineRule="auto"/>
      </w:pPr>
      <w:r>
        <w:separator/>
      </w:r>
    </w:p>
  </w:endnote>
  <w:endnote w:type="continuationSeparator" w:id="0">
    <w:p w14:paraId="006A2347" w14:textId="77777777" w:rsidR="00BF52FE" w:rsidRDefault="00BF52FE" w:rsidP="004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D995" w14:textId="77777777" w:rsidR="00417668" w:rsidRDefault="00417668" w:rsidP="00417668">
    <w:pPr>
      <w:pStyle w:val="Intestazione"/>
      <w:ind w:right="360"/>
      <w:rPr>
        <w:rFonts w:ascii="Futura Bk BT" w:hAnsi="Futura Bk BT"/>
        <w:color w:val="004890"/>
        <w:sz w:val="16"/>
      </w:rPr>
    </w:pPr>
    <w:r>
      <w:rPr>
        <w:rFonts w:ascii="Futura Bk BT" w:hAnsi="Futura Bk BT"/>
        <w:color w:val="004890"/>
        <w:sz w:val="16"/>
      </w:rPr>
      <w:t>CONFINDUSTRIA CHIETI PESCARA</w:t>
    </w:r>
  </w:p>
  <w:p w14:paraId="3E7CD410" w14:textId="77777777" w:rsidR="00417668" w:rsidRDefault="00417668" w:rsidP="00417668">
    <w:pPr>
      <w:pStyle w:val="Intestazione"/>
      <w:rPr>
        <w:rFonts w:ascii="Futura Bk BT" w:hAnsi="Futura Bk BT"/>
        <w:color w:val="004890"/>
        <w:sz w:val="16"/>
      </w:rPr>
    </w:pPr>
    <w:r>
      <w:rPr>
        <w:rFonts w:ascii="Futura Bk BT" w:hAnsi="Futura Bk BT"/>
        <w:color w:val="004890"/>
        <w:sz w:val="16"/>
      </w:rPr>
      <w:t xml:space="preserve">65128 PESCARA  Via Raiale, 110 bis </w:t>
    </w:r>
  </w:p>
  <w:p w14:paraId="55E046B9" w14:textId="77777777" w:rsidR="00417668" w:rsidRDefault="00417668" w:rsidP="00417668">
    <w:pPr>
      <w:pStyle w:val="Intestazione"/>
      <w:rPr>
        <w:rFonts w:ascii="Futura Bk BT" w:hAnsi="Futura Bk BT"/>
        <w:color w:val="004890"/>
        <w:sz w:val="16"/>
      </w:rPr>
    </w:pPr>
    <w:r>
      <w:rPr>
        <w:rFonts w:ascii="Futura Bk BT" w:hAnsi="Futura Bk BT"/>
        <w:color w:val="004890"/>
        <w:sz w:val="16"/>
      </w:rPr>
      <w:t>Telefono 085 432551  Fax 085 4325550</w:t>
    </w:r>
  </w:p>
  <w:p w14:paraId="5E29EF21" w14:textId="18060A0A" w:rsidR="00417668" w:rsidRDefault="00417668" w:rsidP="00417668">
    <w:pPr>
      <w:pStyle w:val="Pidipagina"/>
    </w:pPr>
    <w:r>
      <w:rPr>
        <w:rFonts w:ascii="Futura Bk BT" w:hAnsi="Futura Bk BT"/>
        <w:color w:val="004890"/>
        <w:sz w:val="16"/>
      </w:rPr>
      <w:t>Codice Fiscale 800001506</w:t>
    </w:r>
    <w:r w:rsidRPr="00B72216">
      <w:rPr>
        <w:rFonts w:ascii="Futura Bk BT" w:hAnsi="Futura Bk BT"/>
        <w:color w:val="004890"/>
        <w:sz w:val="16"/>
      </w:rPr>
      <w:t>9</w:t>
    </w:r>
    <w:r>
      <w:rPr>
        <w:rFonts w:ascii="Futura Bk BT" w:hAnsi="Futura Bk BT"/>
        <w:color w:val="004890"/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B4AD" w14:textId="77777777" w:rsidR="00BF52FE" w:rsidRDefault="00BF52FE" w:rsidP="00417668">
      <w:pPr>
        <w:spacing w:after="0" w:line="240" w:lineRule="auto"/>
      </w:pPr>
      <w:r>
        <w:separator/>
      </w:r>
    </w:p>
  </w:footnote>
  <w:footnote w:type="continuationSeparator" w:id="0">
    <w:p w14:paraId="4B141118" w14:textId="77777777" w:rsidR="00BF52FE" w:rsidRDefault="00BF52FE" w:rsidP="00417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F"/>
    <w:rsid w:val="00001436"/>
    <w:rsid w:val="00011B5C"/>
    <w:rsid w:val="0002122A"/>
    <w:rsid w:val="00031E07"/>
    <w:rsid w:val="00050A98"/>
    <w:rsid w:val="0007138B"/>
    <w:rsid w:val="00081A73"/>
    <w:rsid w:val="00087BEA"/>
    <w:rsid w:val="000A4D90"/>
    <w:rsid w:val="000D6454"/>
    <w:rsid w:val="000E09AB"/>
    <w:rsid w:val="00112643"/>
    <w:rsid w:val="00117076"/>
    <w:rsid w:val="00117D34"/>
    <w:rsid w:val="0013661E"/>
    <w:rsid w:val="00137460"/>
    <w:rsid w:val="00142257"/>
    <w:rsid w:val="00151636"/>
    <w:rsid w:val="0016255D"/>
    <w:rsid w:val="00174168"/>
    <w:rsid w:val="001807F3"/>
    <w:rsid w:val="00187E6E"/>
    <w:rsid w:val="001933FB"/>
    <w:rsid w:val="00194B3F"/>
    <w:rsid w:val="001B5B67"/>
    <w:rsid w:val="001E0275"/>
    <w:rsid w:val="001E056D"/>
    <w:rsid w:val="001E41CF"/>
    <w:rsid w:val="001E5B8E"/>
    <w:rsid w:val="001E7D1B"/>
    <w:rsid w:val="001F15FF"/>
    <w:rsid w:val="002000D2"/>
    <w:rsid w:val="0020105F"/>
    <w:rsid w:val="00213F8A"/>
    <w:rsid w:val="00234092"/>
    <w:rsid w:val="002364BA"/>
    <w:rsid w:val="00254080"/>
    <w:rsid w:val="00263BAA"/>
    <w:rsid w:val="00275308"/>
    <w:rsid w:val="00285906"/>
    <w:rsid w:val="00291BCB"/>
    <w:rsid w:val="00295B7A"/>
    <w:rsid w:val="002B1E6C"/>
    <w:rsid w:val="002C5922"/>
    <w:rsid w:val="002D586F"/>
    <w:rsid w:val="00303AC7"/>
    <w:rsid w:val="00313AC0"/>
    <w:rsid w:val="00320980"/>
    <w:rsid w:val="00327356"/>
    <w:rsid w:val="00361720"/>
    <w:rsid w:val="003841FC"/>
    <w:rsid w:val="00390E0D"/>
    <w:rsid w:val="00395084"/>
    <w:rsid w:val="003A7885"/>
    <w:rsid w:val="003C2C18"/>
    <w:rsid w:val="003C37BF"/>
    <w:rsid w:val="003C6C3B"/>
    <w:rsid w:val="003C7C22"/>
    <w:rsid w:val="003D11FA"/>
    <w:rsid w:val="003D41CC"/>
    <w:rsid w:val="003D4E6E"/>
    <w:rsid w:val="003E265C"/>
    <w:rsid w:val="003E36D4"/>
    <w:rsid w:val="003E7905"/>
    <w:rsid w:val="00404428"/>
    <w:rsid w:val="00417668"/>
    <w:rsid w:val="00437C13"/>
    <w:rsid w:val="00443712"/>
    <w:rsid w:val="0044419F"/>
    <w:rsid w:val="00451961"/>
    <w:rsid w:val="00457AFB"/>
    <w:rsid w:val="00460704"/>
    <w:rsid w:val="00463CA3"/>
    <w:rsid w:val="00465E74"/>
    <w:rsid w:val="00477380"/>
    <w:rsid w:val="004814D9"/>
    <w:rsid w:val="00481A66"/>
    <w:rsid w:val="00481F29"/>
    <w:rsid w:val="004906A2"/>
    <w:rsid w:val="00497EF9"/>
    <w:rsid w:val="004A41FD"/>
    <w:rsid w:val="004B5AE5"/>
    <w:rsid w:val="004C5DC2"/>
    <w:rsid w:val="004F79A1"/>
    <w:rsid w:val="00510782"/>
    <w:rsid w:val="005228CC"/>
    <w:rsid w:val="00523CC1"/>
    <w:rsid w:val="005667D0"/>
    <w:rsid w:val="0057420A"/>
    <w:rsid w:val="0058003C"/>
    <w:rsid w:val="0059175C"/>
    <w:rsid w:val="005B1431"/>
    <w:rsid w:val="005B2988"/>
    <w:rsid w:val="006047EB"/>
    <w:rsid w:val="0060715F"/>
    <w:rsid w:val="006218CD"/>
    <w:rsid w:val="00630213"/>
    <w:rsid w:val="00635E38"/>
    <w:rsid w:val="00665541"/>
    <w:rsid w:val="006759B2"/>
    <w:rsid w:val="00676590"/>
    <w:rsid w:val="006A1DF1"/>
    <w:rsid w:val="006A2B96"/>
    <w:rsid w:val="006B16AA"/>
    <w:rsid w:val="006B3555"/>
    <w:rsid w:val="006B4E22"/>
    <w:rsid w:val="006D21B0"/>
    <w:rsid w:val="006E2D14"/>
    <w:rsid w:val="006E2EF4"/>
    <w:rsid w:val="006E6CCE"/>
    <w:rsid w:val="006F5BDD"/>
    <w:rsid w:val="006F6077"/>
    <w:rsid w:val="007220F5"/>
    <w:rsid w:val="007329CF"/>
    <w:rsid w:val="00735010"/>
    <w:rsid w:val="00746B00"/>
    <w:rsid w:val="00756B52"/>
    <w:rsid w:val="007A5264"/>
    <w:rsid w:val="007B79C1"/>
    <w:rsid w:val="007D1C2B"/>
    <w:rsid w:val="008112EE"/>
    <w:rsid w:val="008117D6"/>
    <w:rsid w:val="008258C9"/>
    <w:rsid w:val="00833663"/>
    <w:rsid w:val="00850E90"/>
    <w:rsid w:val="008547AA"/>
    <w:rsid w:val="0086434E"/>
    <w:rsid w:val="00870409"/>
    <w:rsid w:val="008A0EEF"/>
    <w:rsid w:val="008A6E38"/>
    <w:rsid w:val="008B2A75"/>
    <w:rsid w:val="008B4807"/>
    <w:rsid w:val="008B5CBD"/>
    <w:rsid w:val="008D5DC3"/>
    <w:rsid w:val="00900EE6"/>
    <w:rsid w:val="009014C5"/>
    <w:rsid w:val="0090332D"/>
    <w:rsid w:val="009127AD"/>
    <w:rsid w:val="0092334C"/>
    <w:rsid w:val="009316FA"/>
    <w:rsid w:val="00941208"/>
    <w:rsid w:val="00945EC4"/>
    <w:rsid w:val="00947841"/>
    <w:rsid w:val="00966015"/>
    <w:rsid w:val="0097267A"/>
    <w:rsid w:val="009751FA"/>
    <w:rsid w:val="0098388C"/>
    <w:rsid w:val="009950EC"/>
    <w:rsid w:val="009A3233"/>
    <w:rsid w:val="009B4A79"/>
    <w:rsid w:val="009F5C44"/>
    <w:rsid w:val="00A04813"/>
    <w:rsid w:val="00A05BB5"/>
    <w:rsid w:val="00A07588"/>
    <w:rsid w:val="00A152CD"/>
    <w:rsid w:val="00A343C0"/>
    <w:rsid w:val="00A407F9"/>
    <w:rsid w:val="00A439F7"/>
    <w:rsid w:val="00A43D18"/>
    <w:rsid w:val="00A443E2"/>
    <w:rsid w:val="00A53B8E"/>
    <w:rsid w:val="00A7299F"/>
    <w:rsid w:val="00A813A3"/>
    <w:rsid w:val="00A92DEE"/>
    <w:rsid w:val="00A97D22"/>
    <w:rsid w:val="00AB0418"/>
    <w:rsid w:val="00AB71C1"/>
    <w:rsid w:val="00AE5EEA"/>
    <w:rsid w:val="00B05F23"/>
    <w:rsid w:val="00B06151"/>
    <w:rsid w:val="00B101F8"/>
    <w:rsid w:val="00B13BB3"/>
    <w:rsid w:val="00B21D84"/>
    <w:rsid w:val="00B25FEF"/>
    <w:rsid w:val="00B37A03"/>
    <w:rsid w:val="00B37BE5"/>
    <w:rsid w:val="00B545C1"/>
    <w:rsid w:val="00B60A3C"/>
    <w:rsid w:val="00B6132A"/>
    <w:rsid w:val="00B7155F"/>
    <w:rsid w:val="00B74CD1"/>
    <w:rsid w:val="00B81473"/>
    <w:rsid w:val="00B86B0C"/>
    <w:rsid w:val="00B96760"/>
    <w:rsid w:val="00B96DE3"/>
    <w:rsid w:val="00BB27EA"/>
    <w:rsid w:val="00BB5069"/>
    <w:rsid w:val="00BE3BC8"/>
    <w:rsid w:val="00BE51BE"/>
    <w:rsid w:val="00BE7B3A"/>
    <w:rsid w:val="00BF52FE"/>
    <w:rsid w:val="00C125EE"/>
    <w:rsid w:val="00C32028"/>
    <w:rsid w:val="00C43A8D"/>
    <w:rsid w:val="00C51554"/>
    <w:rsid w:val="00C677A9"/>
    <w:rsid w:val="00C70854"/>
    <w:rsid w:val="00C77BB9"/>
    <w:rsid w:val="00C82D55"/>
    <w:rsid w:val="00CA3066"/>
    <w:rsid w:val="00CA400F"/>
    <w:rsid w:val="00CD6284"/>
    <w:rsid w:val="00CE62A1"/>
    <w:rsid w:val="00CF11B4"/>
    <w:rsid w:val="00D02189"/>
    <w:rsid w:val="00D22AA3"/>
    <w:rsid w:val="00D37F3A"/>
    <w:rsid w:val="00D429B9"/>
    <w:rsid w:val="00D50E44"/>
    <w:rsid w:val="00D702E2"/>
    <w:rsid w:val="00D874AD"/>
    <w:rsid w:val="00DA3F21"/>
    <w:rsid w:val="00DC2574"/>
    <w:rsid w:val="00DC4E38"/>
    <w:rsid w:val="00DC5F90"/>
    <w:rsid w:val="00DC6AE3"/>
    <w:rsid w:val="00DC7488"/>
    <w:rsid w:val="00DC783C"/>
    <w:rsid w:val="00DD0726"/>
    <w:rsid w:val="00DF4417"/>
    <w:rsid w:val="00DF6564"/>
    <w:rsid w:val="00E11938"/>
    <w:rsid w:val="00E16E88"/>
    <w:rsid w:val="00E252CA"/>
    <w:rsid w:val="00E32671"/>
    <w:rsid w:val="00E33AF6"/>
    <w:rsid w:val="00E345FB"/>
    <w:rsid w:val="00E34A0C"/>
    <w:rsid w:val="00E61680"/>
    <w:rsid w:val="00E63921"/>
    <w:rsid w:val="00E67908"/>
    <w:rsid w:val="00E743D8"/>
    <w:rsid w:val="00EC3C30"/>
    <w:rsid w:val="00EF6EBD"/>
    <w:rsid w:val="00F177FD"/>
    <w:rsid w:val="00F215EB"/>
    <w:rsid w:val="00F26A3C"/>
    <w:rsid w:val="00F30B77"/>
    <w:rsid w:val="00F53AAF"/>
    <w:rsid w:val="00F671C9"/>
    <w:rsid w:val="00F943A9"/>
    <w:rsid w:val="00FC6E7D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4BBF9"/>
  <w15:docId w15:val="{7A9D2CB8-0610-4930-9E2D-B37D3C8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7BF"/>
  </w:style>
  <w:style w:type="paragraph" w:styleId="Titolo1">
    <w:name w:val="heading 1"/>
    <w:basedOn w:val="Normale"/>
    <w:link w:val="Titolo1Carattere"/>
    <w:uiPriority w:val="9"/>
    <w:qFormat/>
    <w:rsid w:val="0039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37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7B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C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417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17668"/>
  </w:style>
  <w:style w:type="paragraph" w:styleId="Pidipagina">
    <w:name w:val="footer"/>
    <w:basedOn w:val="Normale"/>
    <w:link w:val="PidipaginaCarattere"/>
    <w:uiPriority w:val="99"/>
    <w:unhideWhenUsed/>
    <w:rsid w:val="00417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66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66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0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Laura Federicis</cp:lastModifiedBy>
  <cp:revision>5</cp:revision>
  <dcterms:created xsi:type="dcterms:W3CDTF">2021-07-21T10:06:00Z</dcterms:created>
  <dcterms:modified xsi:type="dcterms:W3CDTF">2021-07-24T06:04:00Z</dcterms:modified>
</cp:coreProperties>
</file>